
<file path=[Content_Types].xml><?xml version="1.0" encoding="utf-8"?>
<Types xmlns="http://schemas.openxmlformats.org/package/2006/content-types">
  <Default Extension="tiff" ContentType="image/tif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92B615">
      <w:pPr>
        <w:spacing w:line="360" w:lineRule="auto"/>
        <w:rPr>
          <w:rFonts w:hint="eastAsia" w:cs="Times New Roman"/>
          <w:b/>
          <w:bCs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/>
          <w:bCs w:val="0"/>
          <w:sz w:val="20"/>
          <w:szCs w:val="20"/>
          <w:highlight w:val="none"/>
        </w:rPr>
        <w:t>Supplementary Figure</w:t>
      </w:r>
      <w:r>
        <w:rPr>
          <w:rFonts w:hint="eastAsia" w:cs="Times New Roman"/>
          <w:b/>
          <w:bCs w:val="0"/>
          <w:sz w:val="20"/>
          <w:szCs w:val="20"/>
          <w:highlight w:val="none"/>
          <w:lang w:val="en-US" w:eastAsia="zh-CN"/>
        </w:rPr>
        <w:t>s</w:t>
      </w:r>
    </w:p>
    <w:p w14:paraId="51BB114A">
      <w:pPr>
        <w:spacing w:line="360" w:lineRule="auto"/>
        <w:rPr>
          <w:rFonts w:hint="eastAsia" w:cs="Times New Roman"/>
          <w:b/>
          <w:bCs w:val="0"/>
          <w:sz w:val="20"/>
          <w:szCs w:val="20"/>
          <w:highlight w:val="none"/>
          <w:lang w:val="en-US" w:eastAsia="zh-CN"/>
        </w:rPr>
      </w:pPr>
    </w:p>
    <w:p w14:paraId="717A0500">
      <w:pPr>
        <w:spacing w:line="360" w:lineRule="auto"/>
        <w:rPr>
          <w:rFonts w:hint="eastAsia" w:eastAsia="宋体" w:cs="Times New Roman"/>
          <w:b/>
          <w:bCs w:val="0"/>
          <w:sz w:val="20"/>
          <w:szCs w:val="20"/>
          <w:lang w:eastAsia="zh-CN"/>
        </w:rPr>
      </w:pPr>
      <w:r>
        <w:rPr>
          <w:rFonts w:hint="eastAsia" w:eastAsia="宋体" w:cs="Times New Roman"/>
          <w:b/>
          <w:bCs w:val="0"/>
          <w:sz w:val="20"/>
          <w:szCs w:val="20"/>
          <w:lang w:eastAsia="zh-CN"/>
        </w:rPr>
        <w:drawing>
          <wp:inline distT="0" distB="0" distL="114300" distR="114300">
            <wp:extent cx="5266690" cy="5266690"/>
            <wp:effectExtent l="0" t="0" r="10160" b="10160"/>
            <wp:docPr id="1" name="图片 1" descr="Supplementary Fig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Supplementary Figure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5266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FE0566">
      <w:pPr>
        <w:spacing w:line="360" w:lineRule="auto"/>
        <w:rPr>
          <w:rFonts w:hint="eastAsia" w:cs="Times New Roman"/>
          <w:sz w:val="20"/>
          <w:szCs w:val="20"/>
          <w:highlight w:val="none"/>
        </w:rPr>
      </w:pPr>
      <w:r>
        <w:rPr>
          <w:rFonts w:hint="eastAsia" w:cs="Times New Roman"/>
          <w:b/>
          <w:bCs w:val="0"/>
          <w:sz w:val="20"/>
          <w:szCs w:val="20"/>
          <w:highlight w:val="none"/>
        </w:rPr>
        <w:t>Supplementary Figure 1</w:t>
      </w:r>
      <w:r>
        <w:rPr>
          <w:rFonts w:hint="eastAsia" w:cs="Times New Roman"/>
          <w:sz w:val="20"/>
          <w:szCs w:val="20"/>
          <w:highlight w:val="none"/>
        </w:rPr>
        <w:t xml:space="preserve">: 5 overlapping genes related to CGs and NET-RGs, </w:t>
      </w:r>
    </w:p>
    <w:p w14:paraId="2C5BFF67">
      <w:pPr>
        <w:spacing w:line="360" w:lineRule="auto"/>
        <w:rPr>
          <w:rFonts w:hint="eastAsia" w:cs="Times New Roman"/>
          <w:sz w:val="20"/>
          <w:szCs w:val="20"/>
          <w:highlight w:val="none"/>
        </w:rPr>
      </w:pPr>
    </w:p>
    <w:p w14:paraId="60D92C2A">
      <w:pPr>
        <w:spacing w:line="360" w:lineRule="auto"/>
        <w:rPr>
          <w:rFonts w:hint="eastAsia" w:eastAsia="宋体" w:cs="Times New Roman"/>
          <w:sz w:val="20"/>
          <w:szCs w:val="20"/>
          <w:highlight w:val="none"/>
          <w:lang w:eastAsia="zh-CN"/>
        </w:rPr>
      </w:pPr>
      <w:r>
        <w:rPr>
          <w:rFonts w:hint="eastAsia" w:eastAsia="宋体" w:cs="Times New Roman"/>
          <w:sz w:val="20"/>
          <w:szCs w:val="20"/>
          <w:highlight w:val="none"/>
          <w:lang w:eastAsia="zh-CN"/>
        </w:rPr>
        <w:drawing>
          <wp:inline distT="0" distB="0" distL="114300" distR="114300">
            <wp:extent cx="5263515" cy="3804285"/>
            <wp:effectExtent l="0" t="0" r="13335" b="5715"/>
            <wp:docPr id="2" name="图片 2" descr="Supplementary Fig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Supplementary Figure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3804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1A5242">
      <w:pPr>
        <w:spacing w:line="360" w:lineRule="auto"/>
        <w:rPr>
          <w:rStyle w:val="4"/>
          <w:rFonts w:cs="Times New Roman"/>
          <w:sz w:val="20"/>
          <w:szCs w:val="20"/>
        </w:rPr>
      </w:pPr>
      <w:r>
        <w:rPr>
          <w:rStyle w:val="4"/>
          <w:rFonts w:hint="eastAsia" w:cs="Times New Roman"/>
          <w:b/>
          <w:sz w:val="20"/>
          <w:szCs w:val="20"/>
        </w:rPr>
        <w:t>Supplementary Figure 2</w:t>
      </w:r>
      <w:r>
        <w:rPr>
          <w:rStyle w:val="4"/>
          <w:rFonts w:cs="Times New Roman"/>
          <w:sz w:val="20"/>
          <w:szCs w:val="20"/>
        </w:rPr>
        <w:t xml:space="preserve"> Validation of the prognostic model in GSE14520.</w:t>
      </w:r>
    </w:p>
    <w:p w14:paraId="58FC7347">
      <w:pPr>
        <w:spacing w:line="360" w:lineRule="auto"/>
        <w:rPr>
          <w:rStyle w:val="4"/>
          <w:rFonts w:cs="Times New Roman"/>
          <w:sz w:val="20"/>
          <w:szCs w:val="20"/>
        </w:rPr>
      </w:pPr>
      <w:r>
        <w:rPr>
          <w:rStyle w:val="4"/>
          <w:rFonts w:cs="Times New Roman"/>
          <w:sz w:val="20"/>
          <w:szCs w:val="20"/>
        </w:rPr>
        <w:t>(</w:t>
      </w:r>
      <w:r>
        <w:rPr>
          <w:rStyle w:val="4"/>
          <w:rFonts w:hint="eastAsia" w:cs="Times New Roman"/>
          <w:sz w:val="20"/>
          <w:szCs w:val="20"/>
        </w:rPr>
        <w:t>a</w:t>
      </w:r>
      <w:r>
        <w:rPr>
          <w:rStyle w:val="4"/>
          <w:rFonts w:cs="Times New Roman"/>
          <w:sz w:val="20"/>
          <w:szCs w:val="20"/>
        </w:rPr>
        <w:t xml:space="preserve">) The risk score of the different risk groups. </w:t>
      </w:r>
    </w:p>
    <w:p w14:paraId="30E4E65C">
      <w:pPr>
        <w:spacing w:line="360" w:lineRule="auto"/>
        <w:rPr>
          <w:rStyle w:val="4"/>
          <w:rFonts w:cs="Times New Roman"/>
          <w:sz w:val="20"/>
          <w:szCs w:val="20"/>
        </w:rPr>
      </w:pPr>
      <w:r>
        <w:rPr>
          <w:rStyle w:val="4"/>
          <w:rFonts w:cs="Times New Roman"/>
          <w:sz w:val="20"/>
          <w:szCs w:val="20"/>
        </w:rPr>
        <w:t>(</w:t>
      </w:r>
      <w:r>
        <w:rPr>
          <w:rStyle w:val="4"/>
          <w:rFonts w:hint="eastAsia" w:cs="Times New Roman"/>
          <w:sz w:val="20"/>
          <w:szCs w:val="20"/>
        </w:rPr>
        <w:t>b</w:t>
      </w:r>
      <w:r>
        <w:rPr>
          <w:rStyle w:val="4"/>
          <w:rFonts w:cs="Times New Roman"/>
          <w:sz w:val="20"/>
          <w:szCs w:val="20"/>
        </w:rPr>
        <w:t xml:space="preserve">) The survival probability of the different risk groups. The patients were divided according to their median risk score. </w:t>
      </w:r>
    </w:p>
    <w:p w14:paraId="5AEE2BE6">
      <w:pPr>
        <w:spacing w:line="360" w:lineRule="auto"/>
        <w:rPr>
          <w:rStyle w:val="4"/>
          <w:rFonts w:cs="Times New Roman"/>
          <w:sz w:val="20"/>
          <w:szCs w:val="20"/>
        </w:rPr>
      </w:pPr>
      <w:r>
        <w:rPr>
          <w:rStyle w:val="4"/>
          <w:rFonts w:cs="Times New Roman"/>
          <w:sz w:val="20"/>
          <w:szCs w:val="20"/>
        </w:rPr>
        <w:t>(</w:t>
      </w:r>
      <w:r>
        <w:rPr>
          <w:rStyle w:val="4"/>
          <w:rFonts w:hint="eastAsia" w:cs="Times New Roman"/>
          <w:sz w:val="20"/>
          <w:szCs w:val="20"/>
        </w:rPr>
        <w:t>c</w:t>
      </w:r>
      <w:r>
        <w:rPr>
          <w:rStyle w:val="4"/>
          <w:rFonts w:cs="Times New Roman"/>
          <w:sz w:val="20"/>
          <w:szCs w:val="20"/>
        </w:rPr>
        <w:t>) Prognostic genes in the GSE14520 dataset were analyzed using ROC curves.</w:t>
      </w:r>
    </w:p>
    <w:p w14:paraId="4499CB45">
      <w:pPr>
        <w:spacing w:line="360" w:lineRule="auto"/>
        <w:rPr>
          <w:rFonts w:hint="eastAsia" w:eastAsia="宋体" w:cs="Times New Roman"/>
          <w:b/>
          <w:bCs w:val="0"/>
          <w:sz w:val="20"/>
          <w:szCs w:val="20"/>
          <w:lang w:eastAsia="zh-CN"/>
        </w:rPr>
      </w:pPr>
      <w:r>
        <w:rPr>
          <w:rFonts w:hint="eastAsia" w:eastAsia="宋体" w:cs="Times New Roman"/>
          <w:b/>
          <w:bCs w:val="0"/>
          <w:sz w:val="20"/>
          <w:szCs w:val="20"/>
          <w:lang w:eastAsia="zh-CN"/>
        </w:rPr>
        <w:drawing>
          <wp:inline distT="0" distB="0" distL="114300" distR="114300">
            <wp:extent cx="5266690" cy="4213860"/>
            <wp:effectExtent l="0" t="0" r="10160" b="15240"/>
            <wp:docPr id="3" name="图片 3" descr="Supplementary Fig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Supplementary Figure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4213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F51122">
      <w:r>
        <w:rPr>
          <w:rFonts w:hint="eastAsia" w:cs="Times New Roman"/>
          <w:b/>
          <w:bCs w:val="0"/>
          <w:sz w:val="20"/>
          <w:szCs w:val="20"/>
        </w:rPr>
        <w:t xml:space="preserve">Supplementary Figure 3 </w:t>
      </w:r>
      <w:r>
        <w:rPr>
          <w:rFonts w:hint="eastAsia" w:cs="Times New Roman"/>
          <w:sz w:val="20"/>
          <w:szCs w:val="20"/>
        </w:rPr>
        <w:t>:28 different immune cells heatmap</w:t>
      </w:r>
    </w:p>
    <w:p w14:paraId="62B2FF74">
      <w:pPr>
        <w:spacing w:line="360" w:lineRule="auto"/>
        <w:rPr>
          <w:rFonts w:hint="eastAsia" w:cs="Times New Roman"/>
          <w:b/>
          <w:bCs w:val="0"/>
          <w:sz w:val="20"/>
          <w:szCs w:val="20"/>
        </w:rPr>
      </w:pPr>
    </w:p>
    <w:p w14:paraId="73E9D5C4">
      <w:pPr>
        <w:spacing w:line="360" w:lineRule="auto"/>
        <w:rPr>
          <w:rFonts w:hint="eastAsia" w:cs="Times New Roman"/>
          <w:b/>
          <w:bCs w:val="0"/>
          <w:sz w:val="20"/>
          <w:szCs w:val="20"/>
        </w:rPr>
      </w:pPr>
    </w:p>
    <w:p w14:paraId="64A40C5B">
      <w:pPr>
        <w:spacing w:line="360" w:lineRule="auto"/>
        <w:rPr>
          <w:rFonts w:hint="eastAsia" w:cs="Times New Roman"/>
          <w:b/>
          <w:bCs w:val="0"/>
          <w:sz w:val="20"/>
          <w:szCs w:val="20"/>
        </w:rPr>
      </w:pPr>
    </w:p>
    <w:p w14:paraId="00E61D4D">
      <w:pPr>
        <w:spacing w:line="360" w:lineRule="auto"/>
        <w:rPr>
          <w:rFonts w:hint="eastAsia" w:cs="Times New Roman"/>
          <w:b/>
          <w:bCs w:val="0"/>
          <w:sz w:val="20"/>
          <w:szCs w:val="20"/>
        </w:rPr>
      </w:pPr>
    </w:p>
    <w:p w14:paraId="4E06FDE9">
      <w:pPr>
        <w:spacing w:line="360" w:lineRule="auto"/>
        <w:rPr>
          <w:rFonts w:hint="eastAsia" w:cs="Times New Roman"/>
          <w:b/>
          <w:bCs w:val="0"/>
          <w:sz w:val="20"/>
          <w:szCs w:val="20"/>
        </w:rPr>
      </w:pPr>
    </w:p>
    <w:p w14:paraId="5B627896">
      <w:pPr>
        <w:spacing w:line="360" w:lineRule="auto"/>
        <w:rPr>
          <w:rFonts w:hint="eastAsia" w:cs="Times New Roman"/>
          <w:b/>
          <w:bCs w:val="0"/>
          <w:sz w:val="20"/>
          <w:szCs w:val="20"/>
        </w:rPr>
      </w:pPr>
    </w:p>
    <w:p w14:paraId="3734A884">
      <w:pPr>
        <w:spacing w:line="360" w:lineRule="auto"/>
        <w:rPr>
          <w:rFonts w:hint="eastAsia" w:cs="Times New Roman"/>
          <w:b/>
          <w:bCs w:val="0"/>
          <w:sz w:val="20"/>
          <w:szCs w:val="20"/>
        </w:rPr>
      </w:pPr>
    </w:p>
    <w:p w14:paraId="12FB5C94">
      <w:pPr>
        <w:spacing w:line="360" w:lineRule="auto"/>
        <w:rPr>
          <w:rFonts w:hint="eastAsia" w:cs="Times New Roman"/>
          <w:b/>
          <w:bCs w:val="0"/>
          <w:sz w:val="20"/>
          <w:szCs w:val="20"/>
        </w:rPr>
      </w:pPr>
    </w:p>
    <w:p w14:paraId="27C0E2DA">
      <w:pPr>
        <w:spacing w:line="360" w:lineRule="auto"/>
        <w:rPr>
          <w:rFonts w:hint="eastAsia" w:cs="Times New Roman"/>
          <w:b/>
          <w:bCs w:val="0"/>
          <w:sz w:val="20"/>
          <w:szCs w:val="20"/>
        </w:rPr>
      </w:pPr>
    </w:p>
    <w:p w14:paraId="5DEF8CAC">
      <w:pPr>
        <w:spacing w:line="360" w:lineRule="auto"/>
        <w:rPr>
          <w:rFonts w:hint="eastAsia" w:cs="Times New Roman"/>
          <w:b/>
          <w:bCs w:val="0"/>
          <w:sz w:val="20"/>
          <w:szCs w:val="20"/>
        </w:rPr>
      </w:pPr>
    </w:p>
    <w:p w14:paraId="26D5C9DE">
      <w:pPr>
        <w:spacing w:line="360" w:lineRule="auto"/>
        <w:rPr>
          <w:rFonts w:hint="eastAsia" w:cs="Times New Roman"/>
          <w:b/>
          <w:bCs w:val="0"/>
          <w:sz w:val="20"/>
          <w:szCs w:val="20"/>
        </w:rPr>
      </w:pPr>
    </w:p>
    <w:p w14:paraId="0DFF4FFD">
      <w:pPr>
        <w:spacing w:line="360" w:lineRule="auto"/>
        <w:rPr>
          <w:rFonts w:hint="eastAsia" w:cs="Times New Roman"/>
          <w:b/>
          <w:bCs w:val="0"/>
          <w:sz w:val="20"/>
          <w:szCs w:val="20"/>
        </w:rPr>
      </w:pPr>
    </w:p>
    <w:p w14:paraId="30CEE916">
      <w:pPr>
        <w:spacing w:line="360" w:lineRule="auto"/>
        <w:rPr>
          <w:rFonts w:hint="eastAsia" w:cs="Times New Roman"/>
          <w:b/>
          <w:bCs w:val="0"/>
          <w:sz w:val="20"/>
          <w:szCs w:val="20"/>
        </w:rPr>
      </w:pPr>
    </w:p>
    <w:p w14:paraId="4D72B879">
      <w:pPr>
        <w:spacing w:line="360" w:lineRule="auto"/>
        <w:rPr>
          <w:rFonts w:hint="eastAsia" w:cs="Times New Roman"/>
          <w:b/>
          <w:bCs w:val="0"/>
          <w:sz w:val="20"/>
          <w:szCs w:val="20"/>
        </w:rPr>
      </w:pPr>
    </w:p>
    <w:p w14:paraId="7A326FA7">
      <w:pPr>
        <w:spacing w:line="360" w:lineRule="auto"/>
        <w:rPr>
          <w:rFonts w:hint="eastAsia" w:eastAsia="宋体" w:cs="Times New Roman"/>
          <w:b/>
          <w:bCs w:val="0"/>
          <w:sz w:val="20"/>
          <w:szCs w:val="20"/>
          <w:lang w:val="en-US" w:eastAsia="zh-CN"/>
        </w:rPr>
      </w:pPr>
      <w:r>
        <w:rPr>
          <w:rFonts w:hint="eastAsia" w:cs="Times New Roman"/>
          <w:b/>
          <w:bCs w:val="0"/>
          <w:sz w:val="20"/>
          <w:szCs w:val="20"/>
          <w:lang w:val="en-US" w:eastAsia="zh-CN"/>
        </w:rPr>
        <w:t>S</w:t>
      </w:r>
      <w:r>
        <w:rPr>
          <w:rFonts w:hint="eastAsia" w:cs="Times New Roman"/>
          <w:b/>
          <w:bCs w:val="0"/>
          <w:sz w:val="20"/>
          <w:szCs w:val="20"/>
        </w:rPr>
        <w:t xml:space="preserve">upplementary </w:t>
      </w:r>
      <w:r>
        <w:rPr>
          <w:rFonts w:hint="eastAsia" w:cs="Times New Roman"/>
          <w:b/>
          <w:bCs w:val="0"/>
          <w:sz w:val="20"/>
          <w:szCs w:val="20"/>
          <w:lang w:val="en-US" w:eastAsia="zh-CN"/>
        </w:rPr>
        <w:t>T</w:t>
      </w:r>
      <w:r>
        <w:rPr>
          <w:rFonts w:hint="eastAsia" w:cs="Times New Roman"/>
          <w:b/>
          <w:bCs w:val="0"/>
          <w:sz w:val="20"/>
          <w:szCs w:val="20"/>
        </w:rPr>
        <w:t>able</w:t>
      </w:r>
      <w:r>
        <w:rPr>
          <w:rFonts w:hint="eastAsia" w:cs="Times New Roman"/>
          <w:b/>
          <w:bCs w:val="0"/>
          <w:sz w:val="20"/>
          <w:szCs w:val="20"/>
          <w:lang w:val="en-US" w:eastAsia="zh-CN"/>
        </w:rPr>
        <w:t>s</w:t>
      </w:r>
      <w:bookmarkStart w:id="0" w:name="_GoBack"/>
      <w:bookmarkEnd w:id="0"/>
    </w:p>
    <w:p w14:paraId="7C7CB724">
      <w:pPr>
        <w:spacing w:line="360" w:lineRule="auto"/>
        <w:rPr>
          <w:rFonts w:hint="eastAsia" w:cs="Times New Roman"/>
          <w:sz w:val="20"/>
          <w:szCs w:val="20"/>
        </w:rPr>
      </w:pPr>
      <w:r>
        <w:rPr>
          <w:rFonts w:hint="eastAsia" w:cs="Times New Roman"/>
          <w:b/>
          <w:bCs w:val="0"/>
          <w:sz w:val="20"/>
          <w:szCs w:val="20"/>
        </w:rPr>
        <w:t xml:space="preserve">supplementary table 1-3 </w:t>
      </w:r>
      <w:r>
        <w:rPr>
          <w:rFonts w:hint="eastAsia" w:cs="Times New Roman"/>
          <w:sz w:val="20"/>
          <w:szCs w:val="20"/>
        </w:rPr>
        <w:t xml:space="preserve">Detailed informaton on RT-qPCR reaction mixtures, primer sequences and </w:t>
      </w:r>
      <w:r>
        <w:rPr>
          <w:rFonts w:hint="eastAsia" w:cs="Times New Roman"/>
          <w:b/>
          <w:bCs w:val="0"/>
          <w:sz w:val="20"/>
          <w:szCs w:val="20"/>
        </w:rPr>
        <w:t xml:space="preserve"> </w:t>
      </w:r>
      <w:r>
        <w:rPr>
          <w:rFonts w:hint="eastAsia" w:cs="Times New Roman"/>
          <w:sz w:val="20"/>
          <w:szCs w:val="20"/>
        </w:rPr>
        <w:t>specific amplification conditions.</w:t>
      </w:r>
    </w:p>
    <w:p w14:paraId="7F717356">
      <w:pPr>
        <w:spacing w:line="360" w:lineRule="auto"/>
        <w:rPr>
          <w:rStyle w:val="4"/>
          <w:rFonts w:hint="eastAsia" w:ascii="Times New Roman" w:hAnsi="Times New Roman" w:cs="Times New Roman"/>
          <w:b w:val="0"/>
          <w:bCs w:val="0"/>
          <w:sz w:val="20"/>
          <w:szCs w:val="20"/>
          <w:lang w:val="en-US" w:eastAsia="zh-CN"/>
        </w:rPr>
      </w:pPr>
      <w:r>
        <w:rPr>
          <w:rStyle w:val="4"/>
          <w:rFonts w:hint="eastAsia" w:cs="Times New Roman"/>
          <w:b/>
          <w:sz w:val="20"/>
          <w:szCs w:val="20"/>
          <w:highlight w:val="none"/>
        </w:rPr>
        <w:t xml:space="preserve">supplementary table </w:t>
      </w:r>
      <w:r>
        <w:rPr>
          <w:rStyle w:val="4"/>
          <w:rFonts w:hint="eastAsia" w:cs="Times New Roman"/>
          <w:b/>
          <w:sz w:val="20"/>
          <w:szCs w:val="20"/>
          <w:highlight w:val="none"/>
          <w:lang w:val="en-US" w:eastAsia="zh-CN"/>
        </w:rPr>
        <w:t>4</w:t>
      </w:r>
      <w:r>
        <w:rPr>
          <w:rFonts w:hint="eastAsia"/>
          <w:lang w:val="en-US" w:eastAsia="zh-CN"/>
        </w:rPr>
        <w:t xml:space="preserve"> </w:t>
      </w:r>
      <w:r>
        <w:rPr>
          <w:rStyle w:val="4"/>
          <w:rFonts w:hint="default" w:ascii="Times New Roman" w:hAnsi="Times New Roman" w:cs="Times New Roman"/>
          <w:b w:val="0"/>
          <w:bCs w:val="0"/>
          <w:sz w:val="20"/>
          <w:szCs w:val="20"/>
          <w:lang w:val="en-US" w:eastAsia="zh-CN"/>
        </w:rPr>
        <w:t>78 candidate genes</w:t>
      </w:r>
      <w:r>
        <w:rPr>
          <w:rStyle w:val="4"/>
          <w:rFonts w:hint="eastAsia" w:ascii="Times New Roman" w:hAnsi="Times New Roman" w:cs="Times New Roman"/>
          <w:b w:val="0"/>
          <w:bCs w:val="0"/>
          <w:sz w:val="20"/>
          <w:szCs w:val="20"/>
          <w:lang w:val="en-US" w:eastAsia="zh-CN"/>
        </w:rPr>
        <w:t>.</w:t>
      </w:r>
    </w:p>
    <w:p w14:paraId="6018189C">
      <w:pPr>
        <w:spacing w:line="360" w:lineRule="auto"/>
        <w:rPr>
          <w:rStyle w:val="4"/>
          <w:rFonts w:hint="default" w:ascii="Times New Roman" w:hAnsi="Times New Roman" w:cs="Times New Roman"/>
          <w:b w:val="0"/>
          <w:bCs w:val="0"/>
          <w:sz w:val="20"/>
          <w:szCs w:val="20"/>
          <w:lang w:val="en-US" w:eastAsia="zh-CN"/>
        </w:rPr>
      </w:pPr>
      <w:r>
        <w:rPr>
          <w:rStyle w:val="4"/>
          <w:rFonts w:hint="eastAsia" w:cs="Times New Roman"/>
          <w:b/>
          <w:sz w:val="20"/>
          <w:szCs w:val="20"/>
          <w:highlight w:val="none"/>
        </w:rPr>
        <w:t xml:space="preserve">supplementary table </w:t>
      </w:r>
      <w:r>
        <w:rPr>
          <w:rStyle w:val="4"/>
          <w:rFonts w:hint="eastAsia" w:cs="Times New Roman"/>
          <w:b/>
          <w:sz w:val="20"/>
          <w:szCs w:val="20"/>
          <w:highlight w:val="none"/>
          <w:lang w:val="en-US" w:eastAsia="zh-CN"/>
        </w:rPr>
        <w:t xml:space="preserve">5 </w:t>
      </w:r>
      <w:r>
        <w:rPr>
          <w:rStyle w:val="4"/>
          <w:rFonts w:hint="eastAsia" w:cs="Times New Roman"/>
          <w:b w:val="0"/>
          <w:bCs w:val="0"/>
          <w:sz w:val="20"/>
          <w:szCs w:val="20"/>
          <w:highlight w:val="none"/>
          <w:lang w:val="en-US" w:eastAsia="zh-CN"/>
        </w:rPr>
        <w:t>48 candidate genes</w:t>
      </w:r>
    </w:p>
    <w:p w14:paraId="60ADD4B2">
      <w:pPr>
        <w:spacing w:line="360" w:lineRule="auto"/>
        <w:rPr>
          <w:rFonts w:hint="eastAsia" w:cs="Times New Roman"/>
          <w:sz w:val="20"/>
          <w:szCs w:val="20"/>
        </w:rPr>
      </w:pPr>
      <w:r>
        <w:rPr>
          <w:rStyle w:val="4"/>
          <w:rFonts w:hint="eastAsia" w:cs="Times New Roman"/>
          <w:b/>
          <w:sz w:val="20"/>
          <w:szCs w:val="20"/>
          <w:highlight w:val="none"/>
        </w:rPr>
        <w:t xml:space="preserve">supplementary table </w:t>
      </w:r>
      <w:r>
        <w:rPr>
          <w:rStyle w:val="4"/>
          <w:rFonts w:hint="eastAsia" w:cs="Times New Roman"/>
          <w:b/>
          <w:sz w:val="20"/>
          <w:szCs w:val="20"/>
          <w:highlight w:val="none"/>
          <w:lang w:val="en-US" w:eastAsia="zh-CN"/>
        </w:rPr>
        <w:t>6</w:t>
      </w:r>
      <w:r>
        <w:rPr>
          <w:rFonts w:hint="eastAsia" w:cs="Times New Roman"/>
          <w:b/>
          <w:bCs w:val="0"/>
          <w:sz w:val="20"/>
          <w:szCs w:val="20"/>
        </w:rPr>
        <w:t xml:space="preserve"> </w:t>
      </w:r>
      <w:r>
        <w:rPr>
          <w:rFonts w:cs="Times New Roman"/>
          <w:sz w:val="20"/>
          <w:szCs w:val="20"/>
        </w:rPr>
        <w:t>The results of PH assumption test</w:t>
      </w:r>
      <w:r>
        <w:rPr>
          <w:rFonts w:hint="eastAsia" w:cs="Times New Roman"/>
          <w:sz w:val="20"/>
          <w:szCs w:val="20"/>
        </w:rPr>
        <w:t>.</w:t>
      </w:r>
    </w:p>
    <w:p w14:paraId="049A63FD">
      <w:pPr>
        <w:spacing w:line="360" w:lineRule="auto"/>
        <w:rPr>
          <w:rFonts w:hint="default" w:eastAsia="宋体" w:cs="Times New Roman"/>
          <w:b w:val="0"/>
          <w:bCs w:val="0"/>
          <w:sz w:val="20"/>
          <w:szCs w:val="20"/>
          <w:lang w:val="en-US" w:eastAsia="zh-CN"/>
        </w:rPr>
      </w:pPr>
      <w:r>
        <w:rPr>
          <w:rStyle w:val="4"/>
          <w:rFonts w:hint="eastAsia" w:cs="Times New Roman"/>
          <w:b/>
          <w:sz w:val="20"/>
          <w:szCs w:val="20"/>
          <w:highlight w:val="none"/>
        </w:rPr>
        <w:t xml:space="preserve">supplementary table </w:t>
      </w:r>
      <w:r>
        <w:rPr>
          <w:rStyle w:val="4"/>
          <w:rFonts w:hint="eastAsia" w:cs="Times New Roman"/>
          <w:b/>
          <w:sz w:val="20"/>
          <w:szCs w:val="20"/>
          <w:highlight w:val="none"/>
          <w:lang w:val="en-US" w:eastAsia="zh-CN"/>
        </w:rPr>
        <w:t>7</w:t>
      </w:r>
      <w:r>
        <w:rPr>
          <w:rStyle w:val="4"/>
          <w:rFonts w:hint="eastAsia" w:cs="Times New Roman"/>
          <w:b w:val="0"/>
          <w:bCs w:val="0"/>
          <w:sz w:val="20"/>
          <w:szCs w:val="20"/>
          <w:highlight w:val="none"/>
          <w:lang w:val="en-US" w:eastAsia="zh-CN"/>
        </w:rPr>
        <w:t xml:space="preserve"> The Bootstrap model of candidate prognostic genes</w:t>
      </w:r>
    </w:p>
    <w:p w14:paraId="128D6C82">
      <w:pPr>
        <w:tabs>
          <w:tab w:val="center" w:pos="4153"/>
        </w:tabs>
        <w:spacing w:line="360" w:lineRule="auto"/>
        <w:rPr>
          <w:rFonts w:cs="Times New Roman"/>
          <w:sz w:val="20"/>
          <w:szCs w:val="20"/>
        </w:rPr>
      </w:pPr>
      <w:r>
        <w:rPr>
          <w:rStyle w:val="4"/>
          <w:rFonts w:hint="eastAsia" w:cs="Times New Roman"/>
          <w:b/>
          <w:sz w:val="20"/>
          <w:szCs w:val="20"/>
          <w:highlight w:val="none"/>
        </w:rPr>
        <w:t xml:space="preserve">supplementary table </w:t>
      </w:r>
      <w:r>
        <w:rPr>
          <w:rStyle w:val="4"/>
          <w:rFonts w:hint="eastAsia" w:cs="Times New Roman"/>
          <w:b/>
          <w:sz w:val="20"/>
          <w:szCs w:val="20"/>
          <w:highlight w:val="none"/>
          <w:lang w:val="en-US" w:eastAsia="zh-CN"/>
        </w:rPr>
        <w:t>8</w:t>
      </w:r>
      <w:r>
        <w:rPr>
          <w:rFonts w:hint="eastAsia" w:cs="Times New Roman"/>
          <w:b/>
          <w:bCs w:val="0"/>
          <w:sz w:val="20"/>
          <w:szCs w:val="20"/>
        </w:rPr>
        <w:t xml:space="preserve"> </w:t>
      </w:r>
      <w:r>
        <w:rPr>
          <w:rFonts w:cs="Times New Roman"/>
          <w:sz w:val="20"/>
          <w:szCs w:val="20"/>
        </w:rPr>
        <w:t>PH assumptions for independent prognostic factors.</w:t>
      </w:r>
      <w:r>
        <w:rPr>
          <w:rFonts w:hint="eastAsia" w:cs="Times New Roman"/>
          <w:sz w:val="20"/>
          <w:szCs w:val="20"/>
        </w:rPr>
        <w:tab/>
      </w:r>
    </w:p>
    <w:p w14:paraId="508051C0">
      <w:pPr>
        <w:tabs>
          <w:tab w:val="center" w:pos="4153"/>
        </w:tabs>
        <w:spacing w:line="360" w:lineRule="auto"/>
        <w:rPr>
          <w:rFonts w:cs="Times New Roman"/>
          <w:sz w:val="20"/>
          <w:szCs w:val="20"/>
        </w:rPr>
      </w:pPr>
      <w:r>
        <w:rPr>
          <w:rStyle w:val="4"/>
          <w:rFonts w:hint="eastAsia" w:cs="Times New Roman"/>
          <w:b/>
          <w:sz w:val="20"/>
          <w:szCs w:val="20"/>
          <w:highlight w:val="none"/>
        </w:rPr>
        <w:t xml:space="preserve">supplementary table </w:t>
      </w:r>
      <w:r>
        <w:rPr>
          <w:rStyle w:val="4"/>
          <w:rFonts w:hint="eastAsia" w:cs="Times New Roman"/>
          <w:b/>
          <w:sz w:val="20"/>
          <w:szCs w:val="20"/>
          <w:highlight w:val="none"/>
          <w:lang w:val="en-US" w:eastAsia="zh-CN"/>
        </w:rPr>
        <w:t>9</w:t>
      </w:r>
      <w:r>
        <w:rPr>
          <w:rFonts w:hint="eastAsia" w:cs="Times New Roman"/>
          <w:b/>
          <w:bCs w:val="0"/>
          <w:sz w:val="20"/>
          <w:szCs w:val="20"/>
        </w:rPr>
        <w:t xml:space="preserve"> </w:t>
      </w:r>
      <w:r>
        <w:rPr>
          <w:rFonts w:cs="Times New Roman"/>
          <w:sz w:val="20"/>
          <w:szCs w:val="20"/>
        </w:rPr>
        <w:t>Results of differential immune cell correlation.</w:t>
      </w:r>
    </w:p>
    <w:p w14:paraId="464C09BF">
      <w:pPr>
        <w:tabs>
          <w:tab w:val="center" w:pos="4153"/>
        </w:tabs>
        <w:spacing w:line="360" w:lineRule="auto"/>
        <w:rPr>
          <w:rFonts w:cs="Times New Roman"/>
          <w:sz w:val="20"/>
          <w:szCs w:val="20"/>
        </w:rPr>
      </w:pPr>
      <w:r>
        <w:rPr>
          <w:rStyle w:val="4"/>
          <w:rFonts w:hint="eastAsia" w:cs="Times New Roman"/>
          <w:b/>
          <w:sz w:val="20"/>
          <w:szCs w:val="20"/>
          <w:highlight w:val="none"/>
        </w:rPr>
        <w:t xml:space="preserve">supplementary table </w:t>
      </w:r>
      <w:r>
        <w:rPr>
          <w:rStyle w:val="4"/>
          <w:rFonts w:hint="eastAsia" w:cs="Times New Roman"/>
          <w:b/>
          <w:sz w:val="20"/>
          <w:szCs w:val="20"/>
          <w:highlight w:val="none"/>
          <w:lang w:val="en-US" w:eastAsia="zh-CN"/>
        </w:rPr>
        <w:t>10</w:t>
      </w:r>
      <w:r>
        <w:rPr>
          <w:rFonts w:hint="eastAsia" w:cs="Times New Roman"/>
          <w:b/>
          <w:bCs w:val="0"/>
          <w:sz w:val="20"/>
          <w:szCs w:val="20"/>
        </w:rPr>
        <w:t xml:space="preserve"> </w:t>
      </w:r>
      <w:r>
        <w:rPr>
          <w:rFonts w:cs="Times New Roman"/>
          <w:sz w:val="20"/>
          <w:szCs w:val="20"/>
        </w:rPr>
        <w:t>Correlation of differential immune cells with prognostic genes.</w:t>
      </w:r>
    </w:p>
    <w:p w14:paraId="53D36B3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03A4F"/>
    <w:rsid w:val="05905F09"/>
    <w:rsid w:val="1E1D0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bCs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annotation reference"/>
    <w:basedOn w:val="3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tiff"/><Relationship Id="rId5" Type="http://schemas.openxmlformats.org/officeDocument/2006/relationships/image" Target="media/image2.tiff"/><Relationship Id="rId4" Type="http://schemas.openxmlformats.org/officeDocument/2006/relationships/image" Target="media/image1.tif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148</Words>
  <Characters>918</Characters>
  <Lines>0</Lines>
  <Paragraphs>0</Paragraphs>
  <TotalTime>3</TotalTime>
  <ScaleCrop>false</ScaleCrop>
  <LinksUpToDate>false</LinksUpToDate>
  <CharactersWithSpaces>1055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2025-04-11T14:40:00Z</dcterms:created>
  <dc:creator>54039</dc:creator>
  <cp:lastModifiedBy>石头</cp:lastModifiedBy>
  <dcterms:modified xsi:type="dcterms:W3CDTF">2025-04-14T13:10:56Z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eyJoZGlkIjoiNTZmNDVlNTA5YzNlZTRmNThlNzg3OGU4NjIyZTZmMGYiLCJ1c2VySWQiOiIyNjU5MzM2MTAifQ==</vt:lpwstr>
  </property>
  <property fmtid="{D5CDD505-2E9C-101B-9397-08002B2CF9AE}" pid="4" name="ICV">
    <vt:lpwstr>7A1FF14130034DFAB84081E8AA51D6D6_13</vt:lpwstr>
  </property>
</Properties>
</file>